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</w:rPr>
        <w:t>河南工业和信息化职业学院</w:t>
      </w:r>
    </w:p>
    <w:p>
      <w:pPr>
        <w:spacing w:line="600" w:lineRule="exact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ascii="方正小标宋简体" w:eastAsia="方正小标宋简体"/>
          <w:b/>
          <w:color w:val="auto"/>
          <w:sz w:val="44"/>
          <w:szCs w:val="44"/>
        </w:rPr>
        <w:t>201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年招聘人事代理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eastAsia="zh-CN"/>
        </w:rPr>
        <w:t>专职教师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XSpec="center" w:tblpY="15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03"/>
        <w:gridCol w:w="566"/>
        <w:gridCol w:w="1311"/>
        <w:gridCol w:w="181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身高、体重</w:t>
            </w:r>
          </w:p>
        </w:tc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院校、专业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本科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全日制硕士研究生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应聘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有何特长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奖励及荣誉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主要简历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学校（单位）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color w:val="auto"/>
          <w:sz w:val="28"/>
          <w:szCs w:val="28"/>
        </w:rPr>
        <w:t> </w:t>
      </w:r>
      <w:r>
        <w:rPr>
          <w:rFonts w:hint="eastAsia"/>
          <w:color w:val="auto"/>
          <w:sz w:val="28"/>
          <w:szCs w:val="28"/>
        </w:rPr>
        <w:t>注：每</w:t>
      </w:r>
      <w:r>
        <w:rPr>
          <w:rFonts w:hint="eastAsia"/>
          <w:color w:val="auto"/>
          <w:sz w:val="28"/>
          <w:szCs w:val="28"/>
          <w:lang w:eastAsia="zh-CN"/>
        </w:rPr>
        <w:t>名</w:t>
      </w:r>
      <w:r>
        <w:rPr>
          <w:rFonts w:hint="eastAsia"/>
          <w:color w:val="auto"/>
          <w:sz w:val="28"/>
          <w:szCs w:val="28"/>
        </w:rPr>
        <w:t>应聘人员只能报考一个岗位。</w:t>
      </w:r>
    </w:p>
    <w:p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2018-09-12T08:58:28Z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