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szCs w:val="32"/>
        </w:rPr>
      </w:pPr>
      <w:r>
        <w:rPr>
          <w:rFonts w:hint="eastAsia" w:ascii="楷体_GB2312" w:eastAsia="楷体_GB2312"/>
          <w:szCs w:val="32"/>
        </w:rPr>
        <w:t>焦社科奖〔201</w:t>
      </w:r>
      <w:r>
        <w:rPr>
          <w:rFonts w:hint="eastAsia" w:ascii="楷体_GB2312" w:eastAsia="楷体_GB2312"/>
          <w:szCs w:val="32"/>
          <w:lang w:val="en-US" w:eastAsia="zh-CN"/>
        </w:rPr>
        <w:t>8</w:t>
      </w:r>
      <w:r>
        <w:rPr>
          <w:rFonts w:hint="eastAsia" w:ascii="楷体_GB2312" w:eastAsia="楷体_GB2312"/>
          <w:szCs w:val="32"/>
        </w:rPr>
        <w:t>〕1号</w:t>
      </w:r>
    </w:p>
    <w:p>
      <w:pPr>
        <w:rPr>
          <w:szCs w:val="32"/>
        </w:rPr>
      </w:pPr>
    </w:p>
    <w:p>
      <w:pPr>
        <w:jc w:val="center"/>
        <w:rPr>
          <w:rFonts w:hint="eastAsia"/>
          <w:sz w:val="44"/>
          <w:szCs w:val="44"/>
        </w:rPr>
      </w:pPr>
      <w:r>
        <w:rPr>
          <w:rFonts w:hint="eastAsia"/>
          <w:sz w:val="44"/>
          <w:szCs w:val="44"/>
        </w:rPr>
        <w:t>关于201</w:t>
      </w:r>
      <w:r>
        <w:rPr>
          <w:rFonts w:hint="eastAsia"/>
          <w:sz w:val="44"/>
          <w:szCs w:val="44"/>
          <w:lang w:val="en-US" w:eastAsia="zh-CN"/>
        </w:rPr>
        <w:t>7</w:t>
      </w:r>
      <w:r>
        <w:rPr>
          <w:rFonts w:hint="eastAsia"/>
          <w:sz w:val="44"/>
          <w:szCs w:val="44"/>
        </w:rPr>
        <w:t>年度焦作市</w:t>
      </w:r>
    </w:p>
    <w:p>
      <w:pPr>
        <w:jc w:val="center"/>
        <w:rPr>
          <w:rFonts w:hint="eastAsia"/>
          <w:sz w:val="44"/>
          <w:szCs w:val="44"/>
        </w:rPr>
      </w:pPr>
      <w:r>
        <w:rPr>
          <w:rFonts w:hint="eastAsia"/>
          <w:sz w:val="44"/>
          <w:szCs w:val="44"/>
        </w:rPr>
        <w:t>社会科学优秀成果评奖的通知</w:t>
      </w:r>
    </w:p>
    <w:p/>
    <w:p>
      <w:pPr>
        <w:spacing w:line="560" w:lineRule="exact"/>
        <w:jc w:val="left"/>
        <w:rPr>
          <w:rFonts w:hint="eastAsia" w:ascii="仿宋_GB2312"/>
          <w:szCs w:val="32"/>
        </w:rPr>
      </w:pPr>
      <w:r>
        <w:rPr>
          <w:rFonts w:hint="eastAsia" w:ascii="仿宋_GB2312"/>
          <w:szCs w:val="32"/>
        </w:rPr>
        <w:t>各县市区，各学会、协会、研究会,市直各有关单位：</w:t>
      </w:r>
    </w:p>
    <w:p>
      <w:pPr>
        <w:spacing w:line="560" w:lineRule="exact"/>
        <w:ind w:firstLine="640" w:firstLineChars="200"/>
        <w:jc w:val="left"/>
        <w:rPr>
          <w:rFonts w:hint="eastAsia" w:ascii="仿宋_GB2312"/>
          <w:szCs w:val="32"/>
        </w:rPr>
      </w:pPr>
      <w:r>
        <w:rPr>
          <w:rFonts w:hint="eastAsia" w:ascii="仿宋_GB2312"/>
          <w:szCs w:val="32"/>
        </w:rPr>
        <w:t>为了认真贯彻落实</w:t>
      </w:r>
      <w:r>
        <w:rPr>
          <w:rFonts w:hint="eastAsia" w:ascii="仿宋_GB2312"/>
          <w:szCs w:val="32"/>
          <w:lang w:val="en-US" w:eastAsia="zh-CN"/>
        </w:rPr>
        <w:t>习近平新时代中国特色社会主义思想和</w:t>
      </w:r>
      <w:r>
        <w:rPr>
          <w:rFonts w:hint="eastAsia" w:ascii="仿宋_GB2312"/>
          <w:szCs w:val="32"/>
        </w:rPr>
        <w:t>党的十</w:t>
      </w:r>
      <w:r>
        <w:rPr>
          <w:rFonts w:hint="eastAsia" w:ascii="仿宋_GB2312"/>
          <w:szCs w:val="32"/>
          <w:lang w:val="en-US" w:eastAsia="zh-CN"/>
        </w:rPr>
        <w:t>九</w:t>
      </w:r>
      <w:r>
        <w:rPr>
          <w:rFonts w:hint="eastAsia" w:ascii="仿宋_GB2312"/>
          <w:szCs w:val="32"/>
        </w:rPr>
        <w:t>大精神，贯彻落实习近平总书记在哲学社会科学工作座谈会上的重要讲话精神，促进哲学社会科学的精品生产,发挥哲学社会科学界的思想库作用，为“四个焦作”建设，早日跻身全省“第一方阵”，让焦作在中原崛起中更加出彩提供智力支撑和思想保证，</w:t>
      </w:r>
      <w:r>
        <w:rPr>
          <w:rFonts w:hint="eastAsia" w:ascii="仿宋_GB2312"/>
          <w:szCs w:val="32"/>
          <w:lang w:val="en-US" w:eastAsia="zh-CN"/>
        </w:rPr>
        <w:t>按照《2018年宣传思想工作要点》要求，</w:t>
      </w:r>
      <w:r>
        <w:rPr>
          <w:rFonts w:hint="eastAsia" w:ascii="仿宋_GB2312"/>
          <w:szCs w:val="32"/>
        </w:rPr>
        <w:t>市社会科学优秀成果评奖委员会决定,开展201</w:t>
      </w:r>
      <w:r>
        <w:rPr>
          <w:rFonts w:hint="eastAsia" w:ascii="仿宋_GB2312"/>
          <w:szCs w:val="32"/>
          <w:lang w:val="en-US" w:eastAsia="zh-CN"/>
        </w:rPr>
        <w:t>7</w:t>
      </w:r>
      <w:r>
        <w:rPr>
          <w:rFonts w:hint="eastAsia" w:ascii="仿宋_GB2312"/>
          <w:szCs w:val="32"/>
        </w:rPr>
        <w:t>年度焦作市社会科学优秀成果评奖工作。现将有关事宜通知如下：</w:t>
      </w:r>
    </w:p>
    <w:p>
      <w:pPr>
        <w:spacing w:line="560" w:lineRule="exact"/>
        <w:ind w:firstLine="640" w:firstLineChars="200"/>
        <w:jc w:val="left"/>
        <w:rPr>
          <w:rFonts w:hint="eastAsia" w:ascii="黑体" w:eastAsia="黑体"/>
          <w:szCs w:val="32"/>
        </w:rPr>
      </w:pPr>
      <w:r>
        <w:rPr>
          <w:rFonts w:hint="eastAsia" w:ascii="黑体" w:eastAsia="黑体"/>
          <w:szCs w:val="32"/>
        </w:rPr>
        <w:t>一、参评成果范围</w:t>
      </w:r>
    </w:p>
    <w:p>
      <w:pPr>
        <w:spacing w:line="560" w:lineRule="exact"/>
        <w:ind w:firstLine="640" w:firstLineChars="200"/>
        <w:jc w:val="left"/>
        <w:rPr>
          <w:rFonts w:hint="eastAsia" w:ascii="仿宋_GB2312"/>
          <w:szCs w:val="32"/>
        </w:rPr>
      </w:pPr>
      <w:r>
        <w:rPr>
          <w:rFonts w:hint="eastAsia" w:ascii="仿宋_GB2312"/>
          <w:szCs w:val="32"/>
        </w:rPr>
        <w:t>1、201</w:t>
      </w:r>
      <w:r>
        <w:rPr>
          <w:rFonts w:hint="eastAsia" w:ascii="仿宋_GB2312"/>
          <w:szCs w:val="32"/>
          <w:lang w:val="en-US" w:eastAsia="zh-CN"/>
        </w:rPr>
        <w:t>7</w:t>
      </w:r>
      <w:r>
        <w:rPr>
          <w:rFonts w:hint="eastAsia" w:ascii="仿宋_GB2312"/>
          <w:szCs w:val="32"/>
        </w:rPr>
        <w:t>年1月1日至201</w:t>
      </w:r>
      <w:r>
        <w:rPr>
          <w:rFonts w:hint="eastAsia" w:ascii="仿宋_GB2312"/>
          <w:szCs w:val="32"/>
          <w:lang w:val="en-US" w:eastAsia="zh-CN"/>
        </w:rPr>
        <w:t>7</w:t>
      </w:r>
      <w:r>
        <w:rPr>
          <w:rFonts w:hint="eastAsia" w:ascii="仿宋_GB2312"/>
          <w:szCs w:val="32"/>
        </w:rPr>
        <w:t>年12月31日，由出版社公开出版的著作，在公开报刊上发表的文章，以及被县级以上领导机关采用的价值较高的调研报告。</w:t>
      </w:r>
    </w:p>
    <w:p>
      <w:pPr>
        <w:spacing w:line="560" w:lineRule="exact"/>
        <w:ind w:firstLine="640" w:firstLineChars="200"/>
        <w:jc w:val="left"/>
        <w:rPr>
          <w:rFonts w:hint="eastAsia" w:ascii="仿宋_GB2312"/>
          <w:szCs w:val="32"/>
        </w:rPr>
      </w:pPr>
      <w:r>
        <w:rPr>
          <w:rFonts w:hint="eastAsia" w:ascii="仿宋_GB2312"/>
          <w:szCs w:val="32"/>
        </w:rPr>
        <w:t>2、我市（含中央、省驻焦单位和大专院校）社科工作者的成果，凡具备参评条件的，均可参评。与外省、市作者合作的成果，由我市作者担任主编或多卷本中能明显分出某卷某册是我市作者撰写的可以参评。凡在港澳台和境外发表、出版的成果，均不参加评奖。</w:t>
      </w:r>
    </w:p>
    <w:p>
      <w:pPr>
        <w:spacing w:line="560" w:lineRule="exact"/>
        <w:ind w:firstLine="640" w:firstLineChars="200"/>
        <w:jc w:val="left"/>
        <w:rPr>
          <w:rFonts w:hint="eastAsia" w:ascii="仿宋_GB2312"/>
          <w:szCs w:val="32"/>
        </w:rPr>
      </w:pPr>
      <w:r>
        <w:rPr>
          <w:rFonts w:hint="eastAsia" w:ascii="仿宋_GB2312"/>
          <w:szCs w:val="32"/>
        </w:rPr>
        <w:t>3、参评的成果包括社会科学方面的专著、翻译论著、古籍整理、教科书、工具书、普及读物、考古发掘报告、论文、调研报告等。由多名作者撰写的论文集不能作为著作参评，其中的某篇可作为论文参评。</w:t>
      </w:r>
    </w:p>
    <w:p>
      <w:pPr>
        <w:spacing w:line="560" w:lineRule="exact"/>
        <w:ind w:firstLine="640" w:firstLineChars="200"/>
        <w:jc w:val="left"/>
        <w:rPr>
          <w:rFonts w:hint="eastAsia" w:ascii="仿宋_GB2312"/>
          <w:szCs w:val="32"/>
        </w:rPr>
      </w:pPr>
      <w:r>
        <w:rPr>
          <w:rFonts w:hint="eastAsia" w:ascii="仿宋_GB2312"/>
          <w:szCs w:val="32"/>
        </w:rPr>
        <w:t>4、在市级以上各类研讨会上获奖的论文也可参评，但申报时须提供获奖证书复印件。</w:t>
      </w:r>
    </w:p>
    <w:p>
      <w:pPr>
        <w:spacing w:line="560" w:lineRule="exact"/>
        <w:ind w:firstLine="640" w:firstLineChars="200"/>
        <w:jc w:val="left"/>
        <w:rPr>
          <w:rFonts w:hint="eastAsia" w:ascii="黑体" w:eastAsia="黑体"/>
          <w:szCs w:val="32"/>
        </w:rPr>
      </w:pPr>
      <w:r>
        <w:rPr>
          <w:rFonts w:hint="eastAsia" w:ascii="黑体" w:eastAsia="黑体"/>
          <w:szCs w:val="32"/>
        </w:rPr>
        <w:t>二、参评成果条件</w:t>
      </w:r>
    </w:p>
    <w:p>
      <w:pPr>
        <w:spacing w:line="560" w:lineRule="exact"/>
        <w:ind w:firstLine="640" w:firstLineChars="200"/>
        <w:jc w:val="left"/>
        <w:rPr>
          <w:rFonts w:hint="eastAsia" w:ascii="仿宋_GB2312"/>
          <w:szCs w:val="32"/>
        </w:rPr>
      </w:pPr>
      <w:r>
        <w:rPr>
          <w:rFonts w:hint="eastAsia" w:ascii="仿宋_GB2312"/>
          <w:szCs w:val="32"/>
        </w:rPr>
        <w:t>1、</w:t>
      </w:r>
      <w:r>
        <w:rPr>
          <w:rFonts w:hint="eastAsia" w:ascii="仿宋_GB2312"/>
          <w:szCs w:val="32"/>
          <w:lang w:val="en-US" w:eastAsia="zh-CN"/>
        </w:rPr>
        <w:t>提升政治站位</w:t>
      </w:r>
      <w:r>
        <w:rPr>
          <w:rFonts w:hint="eastAsia" w:ascii="仿宋_GB2312"/>
          <w:szCs w:val="32"/>
        </w:rPr>
        <w:t>。坚持以党的十</w:t>
      </w:r>
      <w:r>
        <w:rPr>
          <w:rFonts w:hint="eastAsia" w:ascii="仿宋_GB2312"/>
          <w:szCs w:val="32"/>
          <w:lang w:val="en-US" w:eastAsia="zh-CN"/>
        </w:rPr>
        <w:t>九</w:t>
      </w:r>
      <w:r>
        <w:rPr>
          <w:rFonts w:hint="eastAsia" w:ascii="仿宋_GB2312"/>
          <w:szCs w:val="32"/>
        </w:rPr>
        <w:t>大精神和习近平总书记“5.17”重要讲话为指导。坚持“二为”方向和“双百”方针，观点正确，内容健康。</w:t>
      </w:r>
    </w:p>
    <w:p>
      <w:pPr>
        <w:spacing w:line="560" w:lineRule="exact"/>
        <w:ind w:firstLine="640" w:firstLineChars="200"/>
        <w:jc w:val="left"/>
        <w:rPr>
          <w:rFonts w:hint="eastAsia" w:ascii="仿宋_GB2312"/>
          <w:szCs w:val="32"/>
        </w:rPr>
      </w:pPr>
      <w:r>
        <w:rPr>
          <w:rFonts w:hint="eastAsia" w:ascii="仿宋_GB2312"/>
          <w:szCs w:val="32"/>
        </w:rPr>
        <w:t>2、</w:t>
      </w:r>
      <w:r>
        <w:rPr>
          <w:rFonts w:hint="eastAsia" w:ascii="仿宋_GB2312"/>
          <w:szCs w:val="32"/>
          <w:lang w:val="en-US" w:eastAsia="zh-CN"/>
        </w:rPr>
        <w:t>推动</w:t>
      </w:r>
      <w:r>
        <w:rPr>
          <w:rFonts w:hint="eastAsia" w:ascii="仿宋_GB2312"/>
          <w:szCs w:val="32"/>
        </w:rPr>
        <w:t>学术创新。主题鲜明，层次分明，逻辑严谨，材料翔实，文字准确，通顺流畅，有较强的说服力和感染力。</w:t>
      </w:r>
    </w:p>
    <w:p>
      <w:pPr>
        <w:spacing w:line="560" w:lineRule="exact"/>
        <w:ind w:firstLine="640" w:firstLineChars="200"/>
        <w:jc w:val="left"/>
        <w:rPr>
          <w:rFonts w:hint="eastAsia" w:ascii="仿宋_GB2312"/>
          <w:szCs w:val="32"/>
        </w:rPr>
      </w:pPr>
      <w:r>
        <w:rPr>
          <w:rFonts w:hint="eastAsia" w:ascii="仿宋_GB2312"/>
          <w:szCs w:val="32"/>
        </w:rPr>
        <w:t>3、有较高的学术水平或应用价值。基础理论研究方面的成果，应在本学科、本专业的某一领域有所创新，对原有的结论加以补充、完善；应用研究方面的成果，应在研究和解决“四个焦作”建设、助力“第一方阵”中的重要理论和实际问题上有所创见，对市委、市政府和各级领导机关重大决策的形成或重大实际问题的解决有较高的参考价值；古籍整理应具有较高的学术价值，在文献考订上有所发现；教科书、工具书应具有较强的科学性和实用性，吸收和反映学术界最新的研究成果，对教学或科研有重要的参考价值；普及读物应具有较强的科学性、知识性和可读性，为广大读者喜闻乐见。</w:t>
      </w:r>
    </w:p>
    <w:p>
      <w:pPr>
        <w:spacing w:line="560" w:lineRule="exact"/>
        <w:ind w:firstLine="640" w:firstLineChars="200"/>
        <w:jc w:val="left"/>
        <w:rPr>
          <w:rFonts w:hint="eastAsia" w:ascii="仿宋_GB2312"/>
          <w:szCs w:val="32"/>
        </w:rPr>
      </w:pPr>
      <w:r>
        <w:rPr>
          <w:rFonts w:hint="eastAsia" w:ascii="仿宋_GB2312"/>
          <w:szCs w:val="32"/>
        </w:rPr>
        <w:t>4、翻评论著不仅要看译文质量、出版后的效果，还要看其对学科建设的意义。</w:t>
      </w:r>
    </w:p>
    <w:p>
      <w:pPr>
        <w:spacing w:line="560" w:lineRule="exact"/>
        <w:ind w:firstLine="640" w:firstLineChars="200"/>
        <w:jc w:val="left"/>
        <w:rPr>
          <w:rFonts w:hint="eastAsia" w:ascii="黑体" w:eastAsia="黑体"/>
          <w:szCs w:val="32"/>
        </w:rPr>
      </w:pPr>
      <w:r>
        <w:rPr>
          <w:rFonts w:hint="eastAsia" w:ascii="黑体" w:eastAsia="黑体"/>
          <w:szCs w:val="32"/>
        </w:rPr>
        <w:t>三、奖项设置及评奖标准</w:t>
      </w:r>
    </w:p>
    <w:p>
      <w:pPr>
        <w:spacing w:line="560" w:lineRule="exact"/>
        <w:ind w:firstLine="640" w:firstLineChars="200"/>
        <w:jc w:val="left"/>
        <w:rPr>
          <w:rFonts w:hint="eastAsia" w:ascii="仿宋_GB2312"/>
          <w:szCs w:val="32"/>
        </w:rPr>
      </w:pPr>
      <w:r>
        <w:rPr>
          <w:rFonts w:hint="eastAsia" w:ascii="仿宋_GB2312"/>
          <w:szCs w:val="32"/>
        </w:rPr>
        <w:t>1、奖项设置：</w:t>
      </w:r>
    </w:p>
    <w:p>
      <w:pPr>
        <w:spacing w:line="560" w:lineRule="exact"/>
        <w:ind w:firstLine="640" w:firstLineChars="200"/>
        <w:jc w:val="left"/>
        <w:rPr>
          <w:rFonts w:hint="eastAsia" w:ascii="仿宋_GB2312"/>
          <w:szCs w:val="32"/>
        </w:rPr>
      </w:pPr>
      <w:r>
        <w:rPr>
          <w:rFonts w:hint="eastAsia" w:ascii="仿宋_GB2312"/>
          <w:szCs w:val="32"/>
        </w:rPr>
        <w:t>本次评奖拟设一等奖、二等奖、三等奖。</w:t>
      </w:r>
    </w:p>
    <w:p>
      <w:pPr>
        <w:spacing w:line="560" w:lineRule="exact"/>
        <w:ind w:firstLine="640" w:firstLineChars="200"/>
        <w:jc w:val="left"/>
        <w:rPr>
          <w:rFonts w:hint="eastAsia" w:ascii="仿宋_GB2312"/>
          <w:szCs w:val="32"/>
        </w:rPr>
      </w:pPr>
      <w:r>
        <w:rPr>
          <w:rFonts w:hint="eastAsia" w:ascii="仿宋_GB2312"/>
          <w:szCs w:val="32"/>
        </w:rPr>
        <w:t>2、评奖标准：</w:t>
      </w:r>
    </w:p>
    <w:p>
      <w:pPr>
        <w:spacing w:line="560" w:lineRule="exact"/>
        <w:ind w:firstLine="640" w:firstLineChars="200"/>
        <w:jc w:val="left"/>
        <w:rPr>
          <w:rFonts w:hint="eastAsia" w:ascii="仿宋_GB2312"/>
          <w:szCs w:val="32"/>
        </w:rPr>
      </w:pPr>
      <w:r>
        <w:rPr>
          <w:rFonts w:hint="eastAsia" w:ascii="仿宋_GB2312"/>
          <w:szCs w:val="32"/>
        </w:rPr>
        <w:t>一等奖：在选题上有重大意义，能开辟某一新学科或对某一学科的发展做出较大贡献，研究难度大，提出了重要观点或结论；对落实“四个全面”战略布局中迫切需要解决的重大问题有较大贡献；对焦作的经济社会发展有重要参考价值；在我市社科理论界有较大影响。</w:t>
      </w:r>
    </w:p>
    <w:p>
      <w:pPr>
        <w:spacing w:line="560" w:lineRule="exact"/>
        <w:ind w:firstLine="640" w:firstLineChars="200"/>
        <w:jc w:val="left"/>
        <w:rPr>
          <w:rFonts w:hint="eastAsia" w:ascii="仿宋_GB2312"/>
          <w:szCs w:val="32"/>
        </w:rPr>
      </w:pPr>
      <w:r>
        <w:rPr>
          <w:rFonts w:hint="eastAsia" w:ascii="仿宋_GB2312"/>
          <w:szCs w:val="32"/>
        </w:rPr>
        <w:t>二等奖：在选题上有重大意义，对某学科或某领域的发展做出贡献，提出了重要观点或结论；能解决落实“四个全面”战略布局中的实际问题；对焦作的经济社会发展有一定参考价值；在社科理论界有一定影响，有较高的学术价值或应用价值。</w:t>
      </w:r>
    </w:p>
    <w:p>
      <w:pPr>
        <w:spacing w:line="560" w:lineRule="exact"/>
        <w:ind w:firstLine="640" w:firstLineChars="200"/>
        <w:jc w:val="left"/>
        <w:rPr>
          <w:rFonts w:hint="eastAsia" w:ascii="仿宋_GB2312"/>
          <w:szCs w:val="32"/>
        </w:rPr>
      </w:pPr>
      <w:r>
        <w:rPr>
          <w:rFonts w:hint="eastAsia" w:ascii="仿宋_GB2312"/>
          <w:szCs w:val="32"/>
        </w:rPr>
        <w:t>三等奖：在选题上有重要意义，能发展、完善原有理论、观点或提出新的观点；对焦作的经济社会发展有参考价值；在市内社科界有影响，有一定的学术价值或应用价值。</w:t>
      </w:r>
    </w:p>
    <w:p>
      <w:pPr>
        <w:shd w:val="clear"/>
        <w:autoSpaceDN w:val="0"/>
        <w:spacing w:line="560" w:lineRule="exact"/>
        <w:ind w:firstLine="420"/>
        <w:rPr>
          <w:rFonts w:ascii="仿宋_GB2312" w:hAnsi="仿宋_GB2312"/>
          <w:color w:val="333333"/>
          <w:sz w:val="24"/>
          <w:shd w:val="clear" w:color="auto" w:fill="FFFFFF"/>
        </w:rPr>
      </w:pPr>
      <w:r>
        <w:rPr>
          <w:rFonts w:hint="eastAsia" w:ascii="黑体" w:hAnsi="黑体" w:eastAsia="黑体"/>
          <w:color w:val="333333"/>
          <w:shd w:val="clear" w:color="auto" w:fill="FFFFFF"/>
        </w:rPr>
        <w:t xml:space="preserve"> </w:t>
      </w:r>
      <w:r>
        <w:rPr>
          <w:rFonts w:ascii="黑体" w:hAnsi="黑体" w:eastAsia="黑体"/>
          <w:color w:val="333333"/>
          <w:shd w:val="clear" w:color="auto" w:fill="FFFFFF"/>
        </w:rPr>
        <w:t>四、申报</w:t>
      </w:r>
      <w:r>
        <w:rPr>
          <w:rFonts w:hint="eastAsia" w:ascii="黑体" w:hAnsi="黑体" w:eastAsia="黑体"/>
          <w:color w:val="333333"/>
          <w:shd w:val="clear" w:color="auto" w:fill="FFFFFF"/>
        </w:rPr>
        <w:t>办法</w:t>
      </w:r>
    </w:p>
    <w:p>
      <w:pPr>
        <w:shd w:val="clear"/>
        <w:autoSpaceDN w:val="0"/>
        <w:spacing w:line="560" w:lineRule="exact"/>
        <w:ind w:firstLine="420"/>
        <w:rPr>
          <w:rFonts w:ascii="仿宋_GB2312" w:hAnsi="仿宋_GB2312"/>
          <w:color w:val="333333"/>
          <w:sz w:val="24"/>
          <w:shd w:val="clear" w:color="auto" w:fill="FFFFFF"/>
        </w:rPr>
      </w:pPr>
      <w:r>
        <w:rPr>
          <w:rFonts w:hint="eastAsia" w:ascii="仿宋_GB2312" w:hAnsi="仿宋_GB2312"/>
          <w:color w:val="333333"/>
          <w:shd w:val="clear" w:color="auto" w:fill="FFFFFF"/>
        </w:rPr>
        <w:t xml:space="preserve"> 1</w:t>
      </w:r>
      <w:r>
        <w:rPr>
          <w:rFonts w:ascii="仿宋_GB2312" w:hAnsi="仿宋_GB2312"/>
          <w:color w:val="333333"/>
          <w:shd w:val="clear" w:color="auto" w:fill="FFFFFF"/>
        </w:rPr>
        <w:t>、</w:t>
      </w:r>
      <w:r>
        <w:rPr>
          <w:rFonts w:hint="eastAsia" w:ascii="仿宋_GB2312" w:hAnsi="仿宋_GB2312"/>
          <w:color w:val="333333"/>
          <w:shd w:val="clear" w:color="auto" w:fill="FFFFFF"/>
        </w:rPr>
        <w:t>个人申报。</w:t>
      </w:r>
      <w:r>
        <w:rPr>
          <w:rFonts w:ascii="仿宋_GB2312" w:hAnsi="仿宋_GB2312"/>
          <w:color w:val="333333"/>
          <w:shd w:val="clear" w:color="auto" w:fill="FFFFFF"/>
        </w:rPr>
        <w:t>每人作为第一作者限申报1项；两人以上合作项目、不是第一作者的，可另报1项。集体项目的申报及署名排序，应得到主要作者的同意。凡申报成果无原件以及申报表上无初评单位意见和印章者，不予受理。</w:t>
      </w:r>
    </w:p>
    <w:p>
      <w:pPr>
        <w:shd w:val="clear"/>
        <w:autoSpaceDN w:val="0"/>
        <w:spacing w:line="560" w:lineRule="exact"/>
        <w:ind w:firstLine="420"/>
        <w:rPr>
          <w:rFonts w:ascii="仿宋_GB2312" w:hAnsi="仿宋_GB2312"/>
          <w:color w:val="333333"/>
          <w:sz w:val="24"/>
          <w:shd w:val="clear" w:color="auto" w:fill="FFFFFF"/>
        </w:rPr>
      </w:pPr>
      <w:r>
        <w:rPr>
          <w:rFonts w:hint="eastAsia" w:ascii="仿宋_GB2312" w:hAnsi="仿宋_GB2312"/>
          <w:color w:val="333333"/>
          <w:shd w:val="clear" w:color="auto" w:fill="FFFFFF"/>
        </w:rPr>
        <w:t xml:space="preserve"> 2、单位初评。各县市区</w:t>
      </w:r>
      <w:r>
        <w:rPr>
          <w:rFonts w:ascii="仿宋_GB2312" w:hAnsi="仿宋_GB2312"/>
          <w:color w:val="333333"/>
          <w:shd w:val="clear" w:color="auto" w:fill="FFFFFF"/>
        </w:rPr>
        <w:t>和有关单位要成立初评小组。初评应详细审阅原作，严把政治和学术关，严格按照参评成果条件推选出参评成果，提出初评等级意见，并填入《201</w:t>
      </w:r>
      <w:r>
        <w:rPr>
          <w:rFonts w:hint="eastAsia" w:ascii="仿宋_GB2312" w:hAnsi="仿宋_GB2312"/>
          <w:color w:val="333333"/>
          <w:shd w:val="clear" w:color="auto" w:fill="FFFFFF"/>
          <w:lang w:val="en-US" w:eastAsia="zh-CN"/>
        </w:rPr>
        <w:t>7</w:t>
      </w:r>
      <w:r>
        <w:rPr>
          <w:rFonts w:ascii="仿宋_GB2312" w:hAnsi="仿宋_GB2312"/>
          <w:color w:val="333333"/>
          <w:shd w:val="clear" w:color="auto" w:fill="FFFFFF"/>
        </w:rPr>
        <w:t>年度</w:t>
      </w:r>
      <w:r>
        <w:rPr>
          <w:rFonts w:hint="eastAsia" w:ascii="仿宋_GB2312" w:hAnsi="仿宋_GB2312"/>
          <w:color w:val="333333"/>
          <w:shd w:val="clear" w:color="auto" w:fill="FFFFFF"/>
        </w:rPr>
        <w:t>焦作市</w:t>
      </w:r>
      <w:r>
        <w:rPr>
          <w:rFonts w:ascii="仿宋_GB2312" w:hAnsi="仿宋_GB2312"/>
          <w:color w:val="333333"/>
          <w:shd w:val="clear" w:color="auto" w:fill="FFFFFF"/>
        </w:rPr>
        <w:t>社会科学优秀成果奖申报表》。</w:t>
      </w:r>
      <w:r>
        <w:rPr>
          <w:rFonts w:hint="eastAsia" w:ascii="仿宋_GB2312" w:hAnsi="仿宋_GB2312"/>
          <w:color w:val="333333"/>
          <w:shd w:val="clear" w:color="auto" w:fill="FFFFFF"/>
        </w:rPr>
        <w:t>初评后，由单位统一申报。市</w:t>
      </w:r>
      <w:r>
        <w:rPr>
          <w:rFonts w:ascii="仿宋_GB2312" w:hAnsi="仿宋_GB2312"/>
          <w:color w:val="333333"/>
          <w:shd w:val="clear" w:color="auto" w:fill="FFFFFF"/>
        </w:rPr>
        <w:t>社会科学优秀成果评奖办公室不直接受理个人申报。</w:t>
      </w:r>
    </w:p>
    <w:p>
      <w:pPr>
        <w:shd w:val="clear"/>
        <w:spacing w:line="560" w:lineRule="exact"/>
        <w:ind w:firstLine="640" w:firstLineChars="200"/>
        <w:jc w:val="left"/>
        <w:rPr>
          <w:rFonts w:hint="eastAsia" w:ascii="仿宋_GB2312"/>
          <w:szCs w:val="32"/>
        </w:rPr>
      </w:pPr>
      <w:r>
        <w:rPr>
          <w:rFonts w:hint="eastAsia" w:ascii="仿宋_GB2312" w:hAnsi="仿宋_GB2312"/>
          <w:color w:val="333333"/>
          <w:shd w:val="clear" w:color="auto" w:fill="FFFFFF"/>
        </w:rPr>
        <w:t>3、</w:t>
      </w:r>
      <w:r>
        <w:rPr>
          <w:rFonts w:hint="eastAsia" w:ascii="仿宋_GB2312"/>
          <w:szCs w:val="32"/>
        </w:rPr>
        <w:t>专家评定。市评委会办公室组织专家、学者组成的专业评审组对初评推荐成果逐项进行评审，实行投票表决制的办法，按每项得票多少，评选出一、二、三等奖。</w:t>
      </w:r>
    </w:p>
    <w:p>
      <w:pPr>
        <w:shd w:val="clear"/>
        <w:autoSpaceDN w:val="0"/>
        <w:spacing w:line="560" w:lineRule="exact"/>
        <w:ind w:firstLine="420"/>
        <w:rPr>
          <w:rFonts w:ascii="仿宋_GB2312" w:hAnsi="仿宋_GB2312"/>
          <w:color w:val="333333"/>
          <w:shd w:val="clear" w:color="auto" w:fill="FFFFFF"/>
        </w:rPr>
      </w:pPr>
      <w:r>
        <w:rPr>
          <w:rFonts w:hint="eastAsia" w:ascii="黑体" w:eastAsia="黑体"/>
          <w:szCs w:val="32"/>
        </w:rPr>
        <w:t>五、申报受理时间及要求</w:t>
      </w:r>
    </w:p>
    <w:p>
      <w:pPr>
        <w:shd w:val="clear"/>
        <w:autoSpaceDN w:val="0"/>
        <w:spacing w:line="560" w:lineRule="exact"/>
        <w:ind w:firstLine="420"/>
        <w:rPr>
          <w:rFonts w:hint="eastAsia" w:ascii="仿宋_GB2312" w:hAnsi="仿宋_GB2312"/>
          <w:color w:val="333333"/>
          <w:shd w:val="clear" w:color="auto" w:fill="FFFFFF"/>
        </w:rPr>
      </w:pPr>
      <w:r>
        <w:rPr>
          <w:rFonts w:ascii="仿宋_GB2312" w:hAnsi="仿宋_GB2312"/>
          <w:color w:val="333333"/>
          <w:shd w:val="clear" w:color="auto" w:fill="FFFFFF"/>
        </w:rPr>
        <w:t>申报受理时间</w:t>
      </w:r>
      <w:r>
        <w:rPr>
          <w:rFonts w:hint="eastAsia" w:ascii="仿宋_GB2312" w:hAnsi="仿宋_GB2312"/>
          <w:color w:val="333333"/>
          <w:shd w:val="clear" w:color="auto" w:fill="FFFFFF"/>
        </w:rPr>
        <w:t>截止</w:t>
      </w:r>
      <w:r>
        <w:rPr>
          <w:rFonts w:ascii="仿宋_GB2312" w:hAnsi="仿宋_GB2312"/>
          <w:color w:val="333333"/>
          <w:shd w:val="clear" w:color="auto" w:fill="FFFFFF"/>
        </w:rPr>
        <w:t>201</w:t>
      </w:r>
      <w:r>
        <w:rPr>
          <w:rFonts w:hint="eastAsia" w:ascii="仿宋_GB2312" w:hAnsi="仿宋_GB2312"/>
          <w:color w:val="333333"/>
          <w:shd w:val="clear" w:color="auto" w:fill="FFFFFF"/>
          <w:lang w:val="en-US" w:eastAsia="zh-CN"/>
        </w:rPr>
        <w:t>8</w:t>
      </w:r>
      <w:r>
        <w:rPr>
          <w:rFonts w:ascii="仿宋_GB2312" w:hAnsi="仿宋_GB2312"/>
          <w:color w:val="333333"/>
          <w:shd w:val="clear" w:color="auto" w:fill="FFFFFF"/>
        </w:rPr>
        <w:t>年4月</w:t>
      </w:r>
      <w:r>
        <w:rPr>
          <w:rFonts w:hint="eastAsia" w:ascii="仿宋_GB2312" w:hAnsi="仿宋_GB2312"/>
          <w:color w:val="333333"/>
          <w:shd w:val="clear" w:color="auto" w:fill="FFFFFF"/>
        </w:rPr>
        <w:t>20</w:t>
      </w:r>
      <w:r>
        <w:rPr>
          <w:rFonts w:ascii="仿宋_GB2312" w:hAnsi="仿宋_GB2312"/>
          <w:color w:val="333333"/>
          <w:shd w:val="clear" w:color="auto" w:fill="FFFFFF"/>
        </w:rPr>
        <w:t>日。</w:t>
      </w:r>
      <w:r>
        <w:rPr>
          <w:rFonts w:hint="eastAsia" w:ascii="仿宋_GB2312" w:hAnsi="仿宋_GB2312"/>
          <w:color w:val="333333"/>
          <w:shd w:val="clear" w:color="auto" w:fill="FFFFFF"/>
        </w:rPr>
        <w:t>申报</w:t>
      </w:r>
      <w:r>
        <w:rPr>
          <w:rFonts w:ascii="仿宋_GB2312" w:hAnsi="仿宋_GB2312"/>
          <w:color w:val="333333"/>
          <w:shd w:val="clear" w:color="auto" w:fill="FFFFFF"/>
        </w:rPr>
        <w:t>成果需提供：</w:t>
      </w:r>
      <w:r>
        <w:rPr>
          <w:rFonts w:hint="eastAsia" w:ascii="仿宋_GB2312" w:hAnsi="仿宋_GB2312"/>
          <w:color w:val="333333"/>
          <w:shd w:val="clear" w:color="auto" w:fill="FFFFFF"/>
        </w:rPr>
        <w:t>1、成果（</w:t>
      </w:r>
      <w:r>
        <w:rPr>
          <w:rFonts w:ascii="仿宋_GB2312" w:hAnsi="仿宋_GB2312"/>
          <w:color w:val="333333"/>
          <w:shd w:val="clear" w:color="auto" w:fill="FFFFFF"/>
        </w:rPr>
        <w:t>著作、调研报告</w:t>
      </w:r>
      <w:r>
        <w:rPr>
          <w:rFonts w:hint="eastAsia" w:ascii="仿宋_GB2312" w:hAnsi="仿宋_GB2312"/>
          <w:color w:val="333333"/>
          <w:shd w:val="clear" w:color="auto" w:fill="FFFFFF"/>
        </w:rPr>
        <w:t>、论文）7</w:t>
      </w:r>
      <w:r>
        <w:rPr>
          <w:rFonts w:ascii="仿宋_GB2312" w:hAnsi="仿宋_GB2312"/>
          <w:color w:val="333333"/>
          <w:shd w:val="clear" w:color="auto" w:fill="FFFFFF"/>
        </w:rPr>
        <w:t>份</w:t>
      </w:r>
      <w:r>
        <w:rPr>
          <w:rFonts w:hint="eastAsia" w:ascii="仿宋_GB2312" w:hAnsi="仿宋_GB2312"/>
          <w:color w:val="333333"/>
          <w:shd w:val="clear" w:color="auto" w:fill="FFFFFF"/>
        </w:rPr>
        <w:t>。2、《</w:t>
      </w:r>
      <w:r>
        <w:rPr>
          <w:rFonts w:ascii="仿宋_GB2312" w:hAnsi="仿宋_GB2312"/>
          <w:color w:val="333333"/>
          <w:shd w:val="clear" w:color="auto" w:fill="FFFFFF"/>
        </w:rPr>
        <w:t>申报表</w:t>
      </w:r>
      <w:r>
        <w:rPr>
          <w:rFonts w:hint="eastAsia" w:ascii="仿宋_GB2312" w:hAnsi="仿宋_GB2312"/>
          <w:color w:val="333333"/>
          <w:shd w:val="clear" w:color="auto" w:fill="FFFFFF"/>
        </w:rPr>
        <w:t>》</w:t>
      </w:r>
      <w:r>
        <w:rPr>
          <w:rFonts w:ascii="仿宋_GB2312" w:hAnsi="仿宋_GB2312"/>
          <w:color w:val="333333"/>
          <w:shd w:val="clear" w:color="auto" w:fill="FFFFFF"/>
        </w:rPr>
        <w:t>1份</w:t>
      </w:r>
      <w:r>
        <w:rPr>
          <w:rFonts w:hint="eastAsia" w:ascii="仿宋_GB2312" w:hAnsi="仿宋_GB2312"/>
          <w:color w:val="333333"/>
          <w:shd w:val="clear" w:color="auto" w:fill="FFFFFF"/>
        </w:rPr>
        <w:t>。</w:t>
      </w:r>
    </w:p>
    <w:p>
      <w:pPr>
        <w:spacing w:line="560" w:lineRule="exact"/>
        <w:ind w:firstLine="640" w:firstLineChars="200"/>
        <w:jc w:val="right"/>
        <w:rPr>
          <w:rFonts w:hint="eastAsia" w:ascii="仿宋_GB2312"/>
          <w:szCs w:val="32"/>
        </w:rPr>
      </w:pPr>
    </w:p>
    <w:p>
      <w:pPr>
        <w:spacing w:line="560" w:lineRule="exact"/>
        <w:ind w:firstLine="640" w:firstLineChars="200"/>
        <w:jc w:val="right"/>
        <w:rPr>
          <w:rFonts w:hint="eastAsia" w:ascii="仿宋_GB2312"/>
          <w:szCs w:val="32"/>
        </w:rPr>
      </w:pPr>
      <w:r>
        <w:rPr>
          <w:rFonts w:hint="eastAsia" w:ascii="仿宋_GB2312"/>
          <w:szCs w:val="32"/>
        </w:rPr>
        <w:t>焦作市社会科学优秀成果评奖委员会</w:t>
      </w:r>
      <w:r>
        <w:rPr>
          <w:rFonts w:hint="eastAsia" w:ascii="仿宋_GB2312"/>
          <w:szCs w:val="32"/>
        </w:rPr>
        <w:tab/>
      </w:r>
    </w:p>
    <w:p>
      <w:pPr>
        <w:spacing w:line="560" w:lineRule="exact"/>
        <w:ind w:firstLine="640" w:firstLineChars="200"/>
        <w:jc w:val="center"/>
        <w:rPr>
          <w:rFonts w:hint="eastAsia" w:ascii="仿宋_GB2312"/>
          <w:szCs w:val="32"/>
        </w:rPr>
      </w:pPr>
      <w:r>
        <w:rPr>
          <w:rFonts w:hint="eastAsia" w:ascii="仿宋_GB2312"/>
          <w:szCs w:val="32"/>
        </w:rPr>
        <w:t xml:space="preserve">                 201</w:t>
      </w:r>
      <w:r>
        <w:rPr>
          <w:rFonts w:hint="eastAsia" w:ascii="仿宋_GB2312"/>
          <w:szCs w:val="32"/>
          <w:lang w:val="en-US" w:eastAsia="zh-CN"/>
        </w:rPr>
        <w:t>8</w:t>
      </w:r>
      <w:r>
        <w:rPr>
          <w:rFonts w:hint="eastAsia" w:ascii="仿宋_GB2312"/>
          <w:szCs w:val="32"/>
        </w:rPr>
        <w:t>年2月</w:t>
      </w:r>
      <w:r>
        <w:rPr>
          <w:rFonts w:hint="eastAsia" w:ascii="仿宋_GB2312"/>
          <w:szCs w:val="32"/>
          <w:lang w:val="en-US" w:eastAsia="zh-CN"/>
        </w:rPr>
        <w:t>22</w:t>
      </w:r>
      <w:r>
        <w:rPr>
          <w:rFonts w:hint="eastAsia" w:ascii="仿宋_GB2312"/>
          <w:szCs w:val="32"/>
        </w:rPr>
        <w:t>日</w:t>
      </w:r>
      <w:bookmarkStart w:id="0" w:name="_GoBack"/>
      <w:bookmarkEnd w:id="0"/>
    </w:p>
    <w:sectPr>
      <w:headerReference r:id="rId3" w:type="default"/>
      <w:footerReference r:id="rId4" w:type="default"/>
      <w:footerReference r:id="rId5" w:type="even"/>
      <w:pgSz w:w="11906" w:h="16838"/>
      <w:pgMar w:top="1440" w:right="1701"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E54A9"/>
    <w:rsid w:val="2E3C753C"/>
    <w:rsid w:val="34031772"/>
    <w:rsid w:val="3FED3F7A"/>
    <w:rsid w:val="4AF766E0"/>
    <w:rsid w:val="626F12FC"/>
    <w:rsid w:val="725E54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paragraph" w:customStyle="1" w:styleId="7">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2018-02-23T00:06:00Z</dcterms:created>
  <dc:creator>飞</dc:creator>
  <cp:lastModifiedBy>海浪花</cp:lastModifiedBy>
  <cp:lastPrinted>2018-02-23T00:14:00Z</cp:lastPrinted>
  <dcterms:modified xsi:type="dcterms:W3CDTF">2018-03-08T01:39:49Z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