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河南工业和信息化职业学院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2018年专业技术职务任职资格审查表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申报人员所在系部：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拟报任职资格：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4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947"/>
        <w:gridCol w:w="948"/>
        <w:gridCol w:w="948"/>
        <w:gridCol w:w="948"/>
        <w:gridCol w:w="947"/>
        <w:gridCol w:w="1"/>
        <w:gridCol w:w="947"/>
        <w:gridCol w:w="94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现任专业技术职务聘任时间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现任专业技术职务任职时间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格式举例：*年*个月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  <w:t>（截止到2018年11月30日）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人事处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审查意见</w:t>
            </w:r>
          </w:p>
        </w:tc>
        <w:tc>
          <w:tcPr>
            <w:tcW w:w="758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审查意见</w:t>
            </w:r>
          </w:p>
        </w:tc>
        <w:tc>
          <w:tcPr>
            <w:tcW w:w="758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科研规划处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审查意见</w:t>
            </w:r>
          </w:p>
        </w:tc>
        <w:tc>
          <w:tcPr>
            <w:tcW w:w="758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05669"/>
    <w:rsid w:val="04C05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2018-11-19T07:03:00Z</dcterms:created>
  <dc:creator>Administrator</dc:creator>
  <cp:lastModifiedBy>Administrator</cp:lastModifiedBy>
  <dcterms:modified xsi:type="dcterms:W3CDTF">2018-11-19T07:03:53Z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