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0" w:after="120" w:line="40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河南工业和信息化职业学院</w:t>
      </w:r>
    </w:p>
    <w:p>
      <w:pPr>
        <w:pStyle w:val="5"/>
        <w:spacing w:before="120" w:after="120" w:line="400" w:lineRule="exact"/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综合楼工程全过程造价咨询项目询价公告</w:t>
      </w:r>
    </w:p>
    <w:bookmarkEnd w:id="0"/>
    <w:p>
      <w:pPr>
        <w:pStyle w:val="5"/>
        <w:numPr>
          <w:ilvl w:val="0"/>
          <w:numId w:val="1"/>
        </w:numPr>
        <w:spacing w:before="120" w:after="120" w:line="400" w:lineRule="exact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采购项目名称：</w:t>
      </w:r>
    </w:p>
    <w:p>
      <w:pPr>
        <w:pStyle w:val="5"/>
        <w:spacing w:before="120" w:after="120" w:line="400" w:lineRule="exact"/>
        <w:ind w:firstLine="630" w:firstLineChars="300"/>
        <w:jc w:val="lef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4"/>
          <w:lang w:val="en-US" w:eastAsia="zh-CN"/>
        </w:rPr>
        <w:t>河南工业和信息化职业学院综合楼工程全过程造价咨询项目</w:t>
      </w:r>
      <w:r>
        <w:rPr>
          <w:rFonts w:hint="eastAsia" w:ascii="宋体" w:hAnsi="宋体" w:cs="宋体"/>
          <w:b w:val="0"/>
          <w:kern w:val="2"/>
          <w:sz w:val="21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二、项目控制价</w:t>
      </w:r>
      <w:r>
        <w:rPr>
          <w:rFonts w:hint="eastAsia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Cs w:val="24"/>
        </w:rPr>
        <w:t>4万元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三、采购需求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1.建设地点：河南工业和信息化职业学院校园内。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项目概况：建筑面积6456.69平方米，四层框架结构、建筑物占地面积1794.44平方米，1-3层层高为4.5m，4层层高为4.8m，室内外高差0.45m，建筑高度20.550m，抗震设防类别标准设防，设计合理使用年限50年，屋面防水等级一级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</w:rPr>
        <w:t>3.招标范围：</w:t>
      </w:r>
      <w:r>
        <w:rPr>
          <w:rFonts w:hint="eastAsia" w:ascii="宋体" w:hAnsi="宋体" w:cs="宋体"/>
          <w:color w:val="000000"/>
          <w:szCs w:val="24"/>
        </w:rPr>
        <w:t>河南工业和信息化职业学院综合楼工程(含室外</w:t>
      </w:r>
      <w:r>
        <w:rPr>
          <w:rFonts w:ascii="宋体" w:hAnsi="宋体" w:cs="宋体"/>
          <w:color w:val="000000"/>
          <w:szCs w:val="24"/>
        </w:rPr>
        <w:t>附属工程</w:t>
      </w:r>
      <w:r>
        <w:rPr>
          <w:rFonts w:hint="eastAsia" w:ascii="宋体" w:hAnsi="宋体" w:cs="宋体"/>
          <w:color w:val="000000"/>
          <w:szCs w:val="24"/>
        </w:rPr>
        <w:t>)全过程造价咨询。包括编制工程量清单、编制招标控制价、实施阶段工程造价控制（合同约定节点工程款拨付审核）、竣工结算的编制</w:t>
      </w:r>
      <w:r>
        <w:rPr>
          <w:rFonts w:ascii="宋体" w:hAnsi="宋体" w:cs="宋体"/>
          <w:color w:val="000000"/>
          <w:szCs w:val="24"/>
        </w:rPr>
        <w:t>和</w:t>
      </w:r>
      <w:r>
        <w:rPr>
          <w:rFonts w:hint="eastAsia" w:ascii="宋体" w:hAnsi="宋体" w:cs="宋体"/>
          <w:color w:val="000000"/>
          <w:szCs w:val="24"/>
        </w:rPr>
        <w:t>审核等服务。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4.服务周期：自本项目签订合同之日起至项目结束。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</w:rPr>
        <w:t>5.质量要求：符合国家、省、市有关造价管理的规定，符合国家相关法律法规的规定，确保顺利通过各部门审批。</w:t>
      </w:r>
    </w:p>
    <w:p>
      <w:pPr>
        <w:spacing w:line="360" w:lineRule="auto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四、供应商（投标人）资格要求</w:t>
      </w:r>
    </w:p>
    <w:p>
      <w:pPr>
        <w:pStyle w:val="2"/>
        <w:spacing w:line="360" w:lineRule="auto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b/>
          <w:kern w:val="0"/>
        </w:rPr>
        <w:t xml:space="preserve">   </w:t>
      </w:r>
      <w:r>
        <w:rPr>
          <w:rFonts w:hint="eastAsia" w:ascii="宋体" w:hAnsi="宋体" w:cs="宋体"/>
          <w:sz w:val="21"/>
          <w:szCs w:val="24"/>
        </w:rPr>
        <w:t xml:space="preserve"> 1.满足《中华人民共和国政府采购法》第二十二条规定；</w:t>
      </w:r>
    </w:p>
    <w:p>
      <w:pPr>
        <w:pStyle w:val="2"/>
        <w:spacing w:line="360" w:lineRule="auto"/>
        <w:ind w:firstLine="420" w:firstLineChars="20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2.落实政府采购政策满足的资格要求：</w:t>
      </w:r>
    </w:p>
    <w:p>
      <w:pPr>
        <w:pStyle w:val="2"/>
        <w:spacing w:line="360" w:lineRule="auto"/>
        <w:ind w:firstLine="420" w:firstLineChars="20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3.具有独立法人资格，有效的营业执照；</w:t>
      </w:r>
    </w:p>
    <w:p>
      <w:pPr>
        <w:pStyle w:val="2"/>
        <w:spacing w:line="360" w:lineRule="auto"/>
        <w:ind w:firstLine="420" w:firstLineChars="20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4.具有工程造价咨</w:t>
      </w:r>
      <w:r>
        <w:rPr>
          <w:rFonts w:hint="eastAsia" w:ascii="宋体" w:hAnsi="宋体" w:cs="宋体"/>
          <w:color w:val="000000"/>
          <w:sz w:val="21"/>
          <w:szCs w:val="24"/>
        </w:rPr>
        <w:t>询乙级及以上资质（不含</w:t>
      </w:r>
      <w:r>
        <w:rPr>
          <w:rFonts w:ascii="宋体" w:hAnsi="宋体" w:cs="宋体"/>
          <w:color w:val="000000"/>
          <w:sz w:val="21"/>
          <w:szCs w:val="24"/>
        </w:rPr>
        <w:t>暂定乙级</w:t>
      </w:r>
      <w:r>
        <w:rPr>
          <w:rFonts w:hint="eastAsia" w:ascii="宋体" w:hAnsi="宋体" w:cs="宋体"/>
          <w:color w:val="000000"/>
          <w:sz w:val="21"/>
          <w:szCs w:val="24"/>
        </w:rPr>
        <w:t>）；</w:t>
      </w:r>
    </w:p>
    <w:p>
      <w:pPr>
        <w:pStyle w:val="2"/>
        <w:spacing w:line="360" w:lineRule="auto"/>
        <w:ind w:firstLine="420" w:firstLineChars="20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5.供应商注册应为河南省范围内，外省机构需在河南工程造价管理</w:t>
      </w:r>
      <w:r>
        <w:rPr>
          <w:rFonts w:ascii="宋体" w:hAnsi="宋体" w:cs="宋体"/>
          <w:sz w:val="21"/>
          <w:szCs w:val="24"/>
        </w:rPr>
        <w:t>机构</w:t>
      </w:r>
      <w:r>
        <w:rPr>
          <w:rFonts w:hint="eastAsia" w:ascii="宋体" w:hAnsi="宋体" w:cs="宋体"/>
          <w:sz w:val="21"/>
          <w:szCs w:val="24"/>
        </w:rPr>
        <w:t>备案登记；</w:t>
      </w:r>
    </w:p>
    <w:p>
      <w:pPr>
        <w:pStyle w:val="2"/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4"/>
        </w:rPr>
      </w:pPr>
      <w:r>
        <w:rPr>
          <w:rFonts w:hint="eastAsia" w:ascii="宋体" w:hAnsi="宋体" w:cs="宋体"/>
          <w:color w:val="000000"/>
          <w:sz w:val="21"/>
          <w:szCs w:val="24"/>
        </w:rPr>
        <w:t>6.工程造价咨询人员需持有有关部门颁发的造价人员从业注册证书，其中需有中级以上</w:t>
      </w:r>
      <w:r>
        <w:rPr>
          <w:rFonts w:ascii="宋体" w:hAnsi="宋体" w:cs="宋体"/>
          <w:color w:val="000000"/>
          <w:sz w:val="21"/>
          <w:szCs w:val="24"/>
        </w:rPr>
        <w:t>职称</w:t>
      </w:r>
      <w:r>
        <w:rPr>
          <w:rFonts w:hint="eastAsia" w:ascii="宋体" w:hAnsi="宋体" w:cs="宋体"/>
          <w:color w:val="000000"/>
          <w:sz w:val="21"/>
          <w:szCs w:val="24"/>
        </w:rPr>
        <w:t>（含</w:t>
      </w:r>
      <w:r>
        <w:rPr>
          <w:rFonts w:ascii="宋体" w:hAnsi="宋体" w:cs="宋体"/>
          <w:color w:val="000000"/>
          <w:sz w:val="21"/>
          <w:szCs w:val="24"/>
        </w:rPr>
        <w:t>中级</w:t>
      </w:r>
      <w:r>
        <w:rPr>
          <w:rFonts w:hint="eastAsia" w:ascii="宋体" w:hAnsi="宋体" w:cs="宋体"/>
          <w:color w:val="000000"/>
          <w:sz w:val="21"/>
          <w:szCs w:val="24"/>
        </w:rPr>
        <w:t>）并持有一级</w:t>
      </w:r>
      <w:r>
        <w:rPr>
          <w:rFonts w:ascii="宋体" w:hAnsi="宋体" w:cs="宋体"/>
          <w:color w:val="000000"/>
          <w:sz w:val="21"/>
          <w:szCs w:val="24"/>
        </w:rPr>
        <w:t>造价工程师</w:t>
      </w:r>
      <w:r>
        <w:rPr>
          <w:rFonts w:hint="eastAsia" w:ascii="宋体" w:hAnsi="宋体" w:cs="宋体"/>
          <w:color w:val="000000"/>
          <w:sz w:val="21"/>
          <w:szCs w:val="24"/>
        </w:rPr>
        <w:t>注册证书的</w:t>
      </w:r>
      <w:r>
        <w:rPr>
          <w:rFonts w:ascii="宋体" w:hAnsi="宋体" w:cs="宋体"/>
          <w:color w:val="000000"/>
          <w:sz w:val="21"/>
          <w:szCs w:val="24"/>
        </w:rPr>
        <w:t>建筑装饰专业人员和安装专业人员</w:t>
      </w:r>
      <w:r>
        <w:rPr>
          <w:rFonts w:hint="eastAsia" w:ascii="宋体" w:hAnsi="宋体" w:cs="宋体"/>
          <w:color w:val="000000"/>
          <w:sz w:val="21"/>
          <w:szCs w:val="24"/>
        </w:rPr>
        <w:t>各</w:t>
      </w:r>
      <w:r>
        <w:rPr>
          <w:rFonts w:ascii="宋体" w:hAnsi="宋体" w:cs="宋体"/>
          <w:color w:val="000000"/>
          <w:sz w:val="21"/>
          <w:szCs w:val="24"/>
        </w:rPr>
        <w:t>一人</w:t>
      </w:r>
      <w:r>
        <w:rPr>
          <w:rFonts w:hint="eastAsia" w:ascii="宋体" w:hAnsi="宋体" w:cs="宋体"/>
          <w:color w:val="000000"/>
          <w:sz w:val="21"/>
          <w:szCs w:val="24"/>
        </w:rPr>
        <w:t>，其他人员需持有二级及</w:t>
      </w:r>
      <w:r>
        <w:rPr>
          <w:rFonts w:ascii="宋体" w:hAnsi="宋体" w:cs="宋体"/>
          <w:color w:val="000000"/>
          <w:sz w:val="21"/>
          <w:szCs w:val="24"/>
        </w:rPr>
        <w:t>以上造价工程师证书</w:t>
      </w:r>
      <w:r>
        <w:rPr>
          <w:rFonts w:hint="eastAsia" w:ascii="宋体" w:hAnsi="宋体" w:cs="宋体"/>
          <w:color w:val="000000"/>
          <w:sz w:val="21"/>
          <w:szCs w:val="24"/>
        </w:rPr>
        <w:t>；</w:t>
      </w:r>
    </w:p>
    <w:p>
      <w:pPr>
        <w:pStyle w:val="2"/>
        <w:spacing w:line="360" w:lineRule="auto"/>
        <w:ind w:firstLine="420" w:firstLineChars="20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7.具有良好的执业信誉，健全的财务管理制度（需提供近三年（2017、2018、2019）经审计的财务报告）和缴纳税款、社</w:t>
      </w:r>
      <w:r>
        <w:rPr>
          <w:rFonts w:hint="eastAsia" w:ascii="宋体" w:hAnsi="宋体" w:cs="宋体"/>
          <w:color w:val="000000"/>
          <w:sz w:val="21"/>
          <w:szCs w:val="24"/>
        </w:rPr>
        <w:t>会保险资</w:t>
      </w:r>
      <w:r>
        <w:rPr>
          <w:rFonts w:hint="eastAsia" w:ascii="宋体" w:hAnsi="宋体" w:cs="宋体"/>
          <w:sz w:val="21"/>
          <w:szCs w:val="24"/>
        </w:rPr>
        <w:t>金的记录（2019年以来连续三个月纳税证明及社保证明）；</w:t>
      </w:r>
    </w:p>
    <w:p>
      <w:pPr>
        <w:pStyle w:val="2"/>
        <w:spacing w:line="360" w:lineRule="auto"/>
        <w:ind w:firstLine="630" w:firstLineChars="30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>8.供应商须提供近3年来无重大违法记录的书面声明；</w:t>
      </w:r>
    </w:p>
    <w:p>
      <w:pPr>
        <w:pStyle w:val="2"/>
        <w:spacing w:line="360" w:lineRule="auto"/>
        <w:ind w:firstLine="630" w:firstLineChars="300"/>
      </w:pPr>
      <w:r>
        <w:rPr>
          <w:rFonts w:hint="eastAsia" w:ascii="宋体" w:hAnsi="宋体" w:cs="宋体"/>
          <w:sz w:val="21"/>
          <w:szCs w:val="24"/>
        </w:rPr>
        <w:t>9.本次招标不接受联合体磋商，不允许分包或转包。</w:t>
      </w:r>
      <w:r>
        <w:rPr>
          <w:rFonts w:hint="eastAsia"/>
          <w:szCs w:val="24"/>
        </w:rPr>
        <w:t xml:space="preserve"> </w:t>
      </w:r>
      <w:r>
        <w:rPr>
          <w:rFonts w:hint="eastAsia" w:ascii="宋体" w:hAnsi="宋体" w:cs="宋体"/>
          <w:b/>
          <w:kern w:val="0"/>
        </w:rPr>
        <w:t xml:space="preserve">                    </w:t>
      </w:r>
    </w:p>
    <w:p>
      <w:pPr>
        <w:spacing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五、获取招标文件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1.时间：2020年10月22日起至2020年10月26日。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2.地点：登录“河南工业和信息化职业学院网站”（http://www.hciit.edu.cn/）。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3.方式：自行下载。</w:t>
      </w:r>
    </w:p>
    <w:p>
      <w:pPr>
        <w:spacing w:line="360" w:lineRule="auto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六、投标截止时间及地点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1.时间：2020年10月27日8时30分（北京时间）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2.地点：焦作市城乡一体化示范区碧莲路801号，河南工业和信息化职业学院基本建设处（第二教学组团2110房间）。</w:t>
      </w:r>
    </w:p>
    <w:p>
      <w:pPr>
        <w:spacing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七、开标时间及地点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1.开标时间：2020年10月27日8时30分（北京时间）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2.地点：河南工业和信息化职业学院基本建设处（第二教学组团2110房间）。</w:t>
      </w:r>
    </w:p>
    <w:p>
      <w:pPr>
        <w:spacing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八、发布公告的媒介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本次询价公告在河南工业和信息化职业学院网站发布，询价公告期限为3个工作日。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联系方式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招 标 人：河南工业和信息化职业学院    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地    址：河南省焦作市高新区碧莲路801号    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联 系 人：张老师   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电    话：0391-8767538   </w:t>
      </w:r>
    </w:p>
    <w:p/>
    <w:p>
      <w:pPr>
        <w:pStyle w:val="2"/>
      </w:pPr>
    </w:p>
    <w:p>
      <w:pPr>
        <w:pStyle w:val="4"/>
      </w:pPr>
    </w:p>
    <w:p>
      <w:pPr>
        <w:spacing w:line="360" w:lineRule="auto"/>
        <w:ind w:firstLine="420" w:firstLineChars="200"/>
        <w:jc w:val="right"/>
        <w:rPr>
          <w:rFonts w:hint="eastAsia" w:ascii="宋体" w:hAnsi="宋体" w:cs="宋体"/>
          <w:szCs w:val="22"/>
          <w:lang w:eastAsia="zh-CN"/>
        </w:rPr>
      </w:pPr>
      <w:r>
        <w:rPr>
          <w:rFonts w:hint="eastAsia" w:ascii="宋体" w:hAnsi="宋体" w:cs="宋体"/>
          <w:szCs w:val="22"/>
          <w:lang w:eastAsia="zh-CN"/>
        </w:rPr>
        <w:t>河南工业和信息化职业学院</w:t>
      </w:r>
    </w:p>
    <w:p>
      <w:pPr>
        <w:spacing w:line="360" w:lineRule="auto"/>
        <w:ind w:firstLine="420" w:firstLineChars="200"/>
        <w:jc w:val="right"/>
        <w:rPr>
          <w:rFonts w:hint="default" w:ascii="宋体" w:hAnsi="宋体" w:cs="宋体"/>
          <w:szCs w:val="22"/>
          <w:lang w:val="en-US" w:eastAsia="zh-CN"/>
        </w:rPr>
      </w:pPr>
      <w:r>
        <w:rPr>
          <w:rFonts w:hint="eastAsia" w:ascii="宋体" w:hAnsi="宋体" w:cs="宋体"/>
          <w:szCs w:val="22"/>
          <w:lang w:val="en-US" w:eastAsia="zh-CN"/>
        </w:rPr>
        <w:t>2020.10.22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73891"/>
    <w:multiLevelType w:val="singleLevel"/>
    <w:tmpl w:val="BF27389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F3ACF5"/>
    <w:multiLevelType w:val="singleLevel"/>
    <w:tmpl w:val="FCF3AC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22435"/>
    <w:rsid w:val="0C2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ascii="仿宋_GB2312"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right="30"/>
    </w:pPr>
    <w:rPr>
      <w:rFonts w:ascii="Calibri" w:hAnsi="Calibri"/>
      <w:sz w:val="24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te Heading"/>
    <w:basedOn w:val="1"/>
    <w:next w:val="1"/>
    <w:uiPriority w:val="0"/>
    <w:pPr>
      <w:jc w:val="center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2020-10-21T14:16:00Z</dcterms:created>
  <dc:creator>Administrator</dc:creator>
  <cp:lastModifiedBy>Administrator</cp:lastModifiedBy>
  <dcterms:modified xsi:type="dcterms:W3CDTF">2020-10-21T14:17:32Z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